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DPS Contract to the Key Subcontractors identified on the Platform. </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an Order Contract to Key Subcontractors listed on the Platform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DPS Price over the DPS Contract Period;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Order Contract Period; and</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DPS Contract in respect of:</w:t>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w:t>
    </w:r>
    <w:r w:rsidDel="00000000" w:rsidR="00000000" w:rsidRPr="00000000">
      <w:rPr>
        <w:rFonts w:ascii="Arial" w:cs="Arial" w:eastAsia="Arial" w:hAnsi="Arial"/>
        <w:color w:val="000000"/>
        <w:sz w:val="20"/>
        <w:szCs w:val="20"/>
        <w:rtl w:val="0"/>
      </w:rPr>
      <w:t xml:space="preserve">RM6225 Audio Visual Technical Consultancy &amp; Commissioning</w:t>
    </w:r>
    <w:r w:rsidDel="00000000" w:rsidR="00000000" w:rsidRPr="00000000">
      <w:rPr>
        <w:rFonts w:ascii="Arial" w:cs="Arial" w:eastAsia="Arial" w:hAnsi="Arial"/>
        <w:sz w:val="20"/>
        <w:szCs w:val="20"/>
        <w:rtl w:val="0"/>
      </w:rPr>
      <w:tab/>
      <w:t xml:space="preserve">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v1.1</w:t>
      <w:tab/>
    </w:r>
    <w:r w:rsidDel="00000000" w:rsidR="00000000" w:rsidRPr="00000000">
      <w:rPr>
        <w:rFonts w:ascii="Arial" w:cs="Arial" w:eastAsia="Arial" w:hAnsi="Arial"/>
        <w:color w:val="bfbfbf"/>
        <w:sz w:val="20"/>
        <w:szCs w:val="20"/>
        <w:rtl w:val="0"/>
      </w:rPr>
      <w:tab/>
      <w:tab/>
    </w:r>
    <w:bookmarkStart w:colFirst="0" w:colLast="0" w:name="bookmark=id.tyjcwt"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BwR+CHSf+/TCg92HTGXNTmGqXA==">AMUW2mWPtvW1uc+XGBgreq7uz1Cs7FRx0MXP8p1unwQvYowSU1BXFqOU88qBh1ewERGRw6S8S5Gh/36X446jR5bNGDnUiI0MVnun2SZ7pLlEq/SjJ4+u0WDlIv1JAHqyU66N2eLJ9iVsSboTemdx8Fzn9OVKXypxTUQW5UjNwtbCpSNG0D06RVRChkbSKd2Rtru8lRajmtyc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